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A63243" w14:textId="77777777" w:rsidR="00610674" w:rsidRPr="00277DB9" w:rsidRDefault="00610674" w:rsidP="00777F4C">
      <w:pPr>
        <w:jc w:val="right"/>
        <w:rPr>
          <w:rFonts w:ascii="Calibri Light" w:hAnsi="Calibri Light"/>
          <w:b/>
          <w:sz w:val="22"/>
          <w:szCs w:val="22"/>
        </w:rPr>
      </w:pPr>
      <w:r w:rsidRPr="00277DB9">
        <w:rPr>
          <w:rFonts w:ascii="Calibri Light" w:hAnsi="Calibri Light"/>
          <w:b/>
          <w:sz w:val="22"/>
          <w:szCs w:val="22"/>
        </w:rPr>
        <w:t xml:space="preserve">Revised </w:t>
      </w:r>
      <w:r w:rsidR="00777F4C" w:rsidRPr="00277DB9">
        <w:rPr>
          <w:rFonts w:ascii="Calibri Light" w:hAnsi="Calibri Light"/>
          <w:b/>
          <w:sz w:val="22"/>
          <w:szCs w:val="22"/>
        </w:rPr>
        <w:t>May 2013</w:t>
      </w:r>
    </w:p>
    <w:p w14:paraId="02E2E9EB" w14:textId="77777777" w:rsidR="00C473BC" w:rsidRPr="002055CF" w:rsidRDefault="00C473BC" w:rsidP="00ED6851">
      <w:pPr>
        <w:tabs>
          <w:tab w:val="left" w:pos="480"/>
        </w:tabs>
        <w:rPr>
          <w:rFonts w:ascii="Calibri Light" w:hAnsi="Calibri Light"/>
          <w:sz w:val="22"/>
          <w:szCs w:val="22"/>
        </w:rPr>
      </w:pPr>
      <w:r w:rsidRPr="002055CF">
        <w:rPr>
          <w:rFonts w:ascii="Calibri Light" w:hAnsi="Calibri Light"/>
          <w:sz w:val="22"/>
          <w:szCs w:val="22"/>
        </w:rPr>
        <w:t xml:space="preserve">CLLAS has provided its members and its reinsurers with the following examples of what CLLAS would consider as included in the </w:t>
      </w:r>
      <w:r w:rsidR="00ED6851" w:rsidRPr="002055CF">
        <w:rPr>
          <w:rFonts w:ascii="Calibri Light" w:hAnsi="Calibri Light"/>
          <w:sz w:val="22"/>
          <w:szCs w:val="22"/>
        </w:rPr>
        <w:t>practice of Canadian law or as “incidental”</w:t>
      </w:r>
      <w:r w:rsidRPr="002055CF">
        <w:rPr>
          <w:rFonts w:ascii="Calibri Light" w:hAnsi="Calibri Light"/>
          <w:sz w:val="22"/>
          <w:szCs w:val="22"/>
        </w:rPr>
        <w:t xml:space="preserve"> to the practice of Canadian law.  These are only examples and should not be considered definitive or exclusive.</w:t>
      </w:r>
    </w:p>
    <w:p w14:paraId="56348AFA" w14:textId="77777777" w:rsidR="00C473BC" w:rsidRPr="002055CF" w:rsidRDefault="00C473BC" w:rsidP="00ED6851">
      <w:pPr>
        <w:pStyle w:val="DWPVL1"/>
        <w:tabs>
          <w:tab w:val="left" w:pos="480"/>
        </w:tabs>
        <w:ind w:left="480" w:hanging="480"/>
        <w:rPr>
          <w:rFonts w:ascii="Calibri Light" w:hAnsi="Calibri Light"/>
          <w:sz w:val="22"/>
          <w:szCs w:val="22"/>
        </w:rPr>
      </w:pPr>
      <w:r w:rsidRPr="002055CF">
        <w:rPr>
          <w:rFonts w:ascii="Calibri Light" w:hAnsi="Calibri Light"/>
          <w:sz w:val="22"/>
          <w:szCs w:val="22"/>
        </w:rPr>
        <w:t>Advice relating to a matter generally governed by Canadian law whether given in Canada or from a foreign location, construed as having a foreign law element.</w:t>
      </w:r>
      <w:bookmarkStart w:id="0" w:name="_GoBack"/>
      <w:bookmarkEnd w:id="0"/>
    </w:p>
    <w:p w14:paraId="38C47D69" w14:textId="77777777" w:rsidR="00C473BC" w:rsidRPr="002055CF" w:rsidRDefault="00C473BC" w:rsidP="009A2070">
      <w:pPr>
        <w:pStyle w:val="DWPVL1"/>
        <w:tabs>
          <w:tab w:val="left" w:pos="480"/>
        </w:tabs>
        <w:ind w:left="0"/>
        <w:rPr>
          <w:rFonts w:ascii="Calibri Light" w:hAnsi="Calibri Light"/>
          <w:sz w:val="22"/>
          <w:szCs w:val="22"/>
        </w:rPr>
      </w:pPr>
      <w:r w:rsidRPr="002055CF">
        <w:rPr>
          <w:rFonts w:ascii="Calibri Light" w:hAnsi="Calibri Light"/>
          <w:sz w:val="22"/>
          <w:szCs w:val="22"/>
        </w:rPr>
        <w:t>Advice regarding international law construed as having a foreign law component.</w:t>
      </w:r>
    </w:p>
    <w:p w14:paraId="650BF58A" w14:textId="77777777" w:rsidR="00C473BC" w:rsidRPr="002055CF" w:rsidRDefault="00C473BC" w:rsidP="00ED6851">
      <w:pPr>
        <w:pStyle w:val="DWPVL1"/>
        <w:tabs>
          <w:tab w:val="left" w:pos="480"/>
        </w:tabs>
        <w:ind w:left="480" w:hanging="480"/>
        <w:rPr>
          <w:rFonts w:ascii="Calibri Light" w:hAnsi="Calibri Light"/>
          <w:sz w:val="22"/>
          <w:szCs w:val="22"/>
        </w:rPr>
      </w:pPr>
      <w:r w:rsidRPr="002055CF">
        <w:rPr>
          <w:rFonts w:ascii="Calibri Light" w:hAnsi="Calibri Light"/>
          <w:sz w:val="22"/>
          <w:szCs w:val="22"/>
        </w:rPr>
        <w:t>A member of a firm expressing an informal or hypothetical opinion or advice on foreign law or procedure.</w:t>
      </w:r>
    </w:p>
    <w:p w14:paraId="16D7AB84" w14:textId="77777777" w:rsidR="00C473BC" w:rsidRPr="002055CF" w:rsidRDefault="00C473BC" w:rsidP="00ED6851">
      <w:pPr>
        <w:pStyle w:val="DWPVL1"/>
        <w:tabs>
          <w:tab w:val="left" w:pos="480"/>
        </w:tabs>
        <w:ind w:left="480" w:hanging="480"/>
        <w:rPr>
          <w:rFonts w:ascii="Calibri Light" w:hAnsi="Calibri Light"/>
          <w:sz w:val="22"/>
          <w:szCs w:val="22"/>
        </w:rPr>
      </w:pPr>
      <w:r w:rsidRPr="002055CF">
        <w:rPr>
          <w:rFonts w:ascii="Calibri Light" w:hAnsi="Calibri Light"/>
          <w:sz w:val="22"/>
          <w:szCs w:val="22"/>
        </w:rPr>
        <w:t xml:space="preserve">Persons who are registered intellectual property agents in </w:t>
      </w:r>
      <w:r w:rsidR="00AD4A47" w:rsidRPr="002055CF">
        <w:rPr>
          <w:rFonts w:ascii="Calibri Light" w:hAnsi="Calibri Light"/>
          <w:sz w:val="22"/>
          <w:szCs w:val="22"/>
        </w:rPr>
        <w:t xml:space="preserve">a </w:t>
      </w:r>
      <w:r w:rsidRPr="002055CF">
        <w:rPr>
          <w:rFonts w:ascii="Calibri Light" w:hAnsi="Calibri Light"/>
          <w:sz w:val="22"/>
          <w:szCs w:val="22"/>
        </w:rPr>
        <w:t>Canad</w:t>
      </w:r>
      <w:r w:rsidR="00AD4A47" w:rsidRPr="002055CF">
        <w:rPr>
          <w:rFonts w:ascii="Calibri Light" w:hAnsi="Calibri Light"/>
          <w:sz w:val="22"/>
          <w:szCs w:val="22"/>
        </w:rPr>
        <w:t>i</w:t>
      </w:r>
      <w:r w:rsidRPr="002055CF">
        <w:rPr>
          <w:rFonts w:ascii="Calibri Light" w:hAnsi="Calibri Light"/>
          <w:sz w:val="22"/>
          <w:szCs w:val="22"/>
        </w:rPr>
        <w:t>a</w:t>
      </w:r>
      <w:r w:rsidR="00AD4A47" w:rsidRPr="002055CF">
        <w:rPr>
          <w:rFonts w:ascii="Calibri Light" w:hAnsi="Calibri Light"/>
          <w:sz w:val="22"/>
          <w:szCs w:val="22"/>
        </w:rPr>
        <w:t>n office</w:t>
      </w:r>
      <w:r w:rsidRPr="002055CF">
        <w:rPr>
          <w:rFonts w:ascii="Calibri Light" w:hAnsi="Calibri Light"/>
          <w:sz w:val="22"/>
          <w:szCs w:val="22"/>
        </w:rPr>
        <w:t>, who are entitled to prosecute applications before the U.S. Patent and Trademark Office or an equivalent agency in another foreign jurisdiction without the intervention of a lawyer or agent qualified under the laws of the foreign jurisdiction either because of reciprocal arrangements between Canada and the foreign jurisdiction or because the persons are qualified under the laws of the foreign jurisdiction.</w:t>
      </w:r>
    </w:p>
    <w:p w14:paraId="6ADBAE82" w14:textId="77777777" w:rsidR="00777F4C" w:rsidRPr="002055CF" w:rsidRDefault="00777F4C" w:rsidP="00777F4C">
      <w:pPr>
        <w:pStyle w:val="DWPVL1"/>
        <w:tabs>
          <w:tab w:val="left" w:pos="480"/>
        </w:tabs>
        <w:ind w:left="480" w:hanging="480"/>
        <w:rPr>
          <w:rFonts w:ascii="Calibri Light" w:hAnsi="Calibri Light"/>
          <w:sz w:val="22"/>
          <w:szCs w:val="22"/>
        </w:rPr>
      </w:pPr>
      <w:r w:rsidRPr="002055CF">
        <w:rPr>
          <w:rFonts w:ascii="Calibri Light" w:hAnsi="Calibri Light"/>
          <w:sz w:val="22"/>
          <w:szCs w:val="22"/>
        </w:rPr>
        <w:t>Lawyers involved as arbitrators in international arbitrations</w:t>
      </w:r>
      <w:r w:rsidR="00771657" w:rsidRPr="002055CF">
        <w:rPr>
          <w:rFonts w:ascii="Calibri Light" w:hAnsi="Calibri Light"/>
          <w:sz w:val="22"/>
          <w:szCs w:val="22"/>
        </w:rPr>
        <w:t xml:space="preserve"> o</w:t>
      </w:r>
      <w:r w:rsidR="0028074C" w:rsidRPr="002055CF">
        <w:rPr>
          <w:rFonts w:ascii="Calibri Light" w:hAnsi="Calibri Light"/>
          <w:sz w:val="22"/>
          <w:szCs w:val="22"/>
        </w:rPr>
        <w:t>r domestic arbitrations which are applying to</w:t>
      </w:r>
      <w:r w:rsidR="00771657" w:rsidRPr="002055CF">
        <w:rPr>
          <w:rFonts w:ascii="Calibri Light" w:hAnsi="Calibri Light"/>
          <w:sz w:val="22"/>
          <w:szCs w:val="22"/>
        </w:rPr>
        <w:t xml:space="preserve"> non-Canadian law</w:t>
      </w:r>
      <w:r w:rsidRPr="002055CF">
        <w:rPr>
          <w:rFonts w:ascii="Calibri Light" w:hAnsi="Calibri Light"/>
          <w:sz w:val="22"/>
          <w:szCs w:val="22"/>
        </w:rPr>
        <w:t xml:space="preserve">.  </w:t>
      </w:r>
      <w:r w:rsidR="004A4C3C" w:rsidRPr="002055CF">
        <w:rPr>
          <w:rFonts w:ascii="Calibri Light" w:hAnsi="Calibri Light"/>
          <w:sz w:val="22"/>
          <w:szCs w:val="22"/>
        </w:rPr>
        <w:t>O</w:t>
      </w:r>
      <w:r w:rsidRPr="002055CF">
        <w:rPr>
          <w:rFonts w:ascii="Calibri Light" w:hAnsi="Calibri Light"/>
          <w:sz w:val="22"/>
          <w:szCs w:val="22"/>
        </w:rPr>
        <w:t>ne does not have to be a lawyer to be an arbitrator (international or otherwise) so arbitration work is considered as “ancillary to the practice of law” and not the act</w:t>
      </w:r>
      <w:r w:rsidR="004A4C3C" w:rsidRPr="002055CF">
        <w:rPr>
          <w:rFonts w:ascii="Calibri Light" w:hAnsi="Calibri Light"/>
          <w:sz w:val="22"/>
          <w:szCs w:val="22"/>
        </w:rPr>
        <w:t>ual practice of law.</w:t>
      </w:r>
    </w:p>
    <w:p w14:paraId="08C29CFA" w14:textId="77777777" w:rsidR="00856ADD" w:rsidRPr="002055CF" w:rsidRDefault="00C473BC" w:rsidP="00856ADD">
      <w:pPr>
        <w:pStyle w:val="DWPVL1"/>
        <w:tabs>
          <w:tab w:val="left" w:pos="480"/>
        </w:tabs>
        <w:ind w:left="0"/>
        <w:rPr>
          <w:rFonts w:ascii="Calibri Light" w:hAnsi="Calibri Light"/>
          <w:sz w:val="22"/>
          <w:szCs w:val="22"/>
        </w:rPr>
      </w:pPr>
      <w:r w:rsidRPr="002055CF">
        <w:rPr>
          <w:rFonts w:ascii="Calibri Light" w:hAnsi="Calibri Light"/>
          <w:sz w:val="22"/>
          <w:szCs w:val="22"/>
        </w:rPr>
        <w:t>Other situations similar to the above where reciprocal recognition is provided for Canadian lawyers.</w:t>
      </w:r>
    </w:p>
    <w:p w14:paraId="2D0CDE17" w14:textId="77777777" w:rsidR="00C473BC" w:rsidRPr="002055CF" w:rsidRDefault="00C473BC" w:rsidP="00ED6851">
      <w:pPr>
        <w:pStyle w:val="DWPVL1"/>
        <w:tabs>
          <w:tab w:val="left" w:pos="480"/>
        </w:tabs>
        <w:ind w:left="480" w:hanging="480"/>
        <w:rPr>
          <w:rFonts w:ascii="Calibri Light" w:hAnsi="Calibri Light"/>
          <w:sz w:val="22"/>
          <w:szCs w:val="22"/>
        </w:rPr>
      </w:pPr>
      <w:r w:rsidRPr="002055CF">
        <w:rPr>
          <w:rFonts w:ascii="Calibri Light" w:hAnsi="Calibri Light"/>
          <w:sz w:val="22"/>
          <w:szCs w:val="22"/>
        </w:rPr>
        <w:t>In the course of a transaction that has a Cana</w:t>
      </w:r>
      <w:r w:rsidR="00ED6851" w:rsidRPr="002055CF">
        <w:rPr>
          <w:rFonts w:ascii="Calibri Light" w:hAnsi="Calibri Light"/>
          <w:sz w:val="22"/>
          <w:szCs w:val="22"/>
        </w:rPr>
        <w:t>dian element (e.g.</w:t>
      </w:r>
      <w:r w:rsidRPr="002055CF">
        <w:rPr>
          <w:rFonts w:ascii="Calibri Light" w:hAnsi="Calibri Light"/>
          <w:sz w:val="22"/>
          <w:szCs w:val="22"/>
        </w:rPr>
        <w:t xml:space="preserve"> a cross-border transaction or a transaction involving Canadian entities or assets), there may be one or more agreements that are governed by the laws of a foreign jurisdiction which a Canadian lawyer may be called upon to draft or comment on. If formal opinions are required, foreign counsel will opine on the matters governed by foreign law.</w:t>
      </w:r>
    </w:p>
    <w:p w14:paraId="61B0E5D4" w14:textId="77777777" w:rsidR="00C473BC" w:rsidRPr="002055CF" w:rsidRDefault="00C473BC" w:rsidP="00ED6851">
      <w:pPr>
        <w:pStyle w:val="DWPVL1"/>
        <w:tabs>
          <w:tab w:val="left" w:pos="480"/>
        </w:tabs>
        <w:ind w:left="480" w:hanging="480"/>
        <w:rPr>
          <w:rFonts w:ascii="Calibri Light" w:hAnsi="Calibri Light"/>
          <w:sz w:val="22"/>
          <w:szCs w:val="22"/>
        </w:rPr>
      </w:pPr>
      <w:r w:rsidRPr="002055CF">
        <w:rPr>
          <w:rFonts w:ascii="Calibri Light" w:hAnsi="Calibri Light"/>
          <w:sz w:val="22"/>
          <w:szCs w:val="22"/>
        </w:rPr>
        <w:t>A Canadian lawyer</w:t>
      </w:r>
      <w:r w:rsidRPr="002055CF">
        <w:rPr>
          <w:rStyle w:val="FootnoteReference"/>
          <w:rFonts w:ascii="Calibri Light" w:hAnsi="Calibri Light"/>
          <w:sz w:val="22"/>
          <w:szCs w:val="22"/>
        </w:rPr>
        <w:footnoteReference w:id="1"/>
      </w:r>
      <w:r w:rsidRPr="002055CF">
        <w:rPr>
          <w:rFonts w:ascii="Calibri Light" w:hAnsi="Calibri Light"/>
          <w:sz w:val="22"/>
          <w:szCs w:val="22"/>
        </w:rPr>
        <w:t xml:space="preserve"> drafts an agreement for a client in Canada or in a foreign jurisdiction in respect of a transaction in a foreign jurisdiction which agreement is expressed to be governed by the laws of that foreign jurisdiction.  The Canadian lawyer is retained to do this because the client likes the way he or she drafts contracts.  Any necessary formal opinions regarding foreign law are obtained from counsel from that foreign jurisdiction.</w:t>
      </w:r>
    </w:p>
    <w:p w14:paraId="5A6DEF2C" w14:textId="77777777" w:rsidR="00C473BC" w:rsidRPr="002055CF" w:rsidRDefault="00C473BC" w:rsidP="00ED6851">
      <w:pPr>
        <w:pStyle w:val="DWPVL1"/>
        <w:tabs>
          <w:tab w:val="left" w:pos="480"/>
        </w:tabs>
        <w:ind w:left="480" w:hanging="480"/>
        <w:rPr>
          <w:rFonts w:ascii="Calibri Light" w:hAnsi="Calibri Light"/>
          <w:sz w:val="22"/>
          <w:szCs w:val="22"/>
        </w:rPr>
      </w:pPr>
      <w:r w:rsidRPr="002055CF">
        <w:rPr>
          <w:rFonts w:ascii="Calibri Light" w:hAnsi="Calibri Light"/>
          <w:sz w:val="22"/>
          <w:szCs w:val="22"/>
        </w:rPr>
        <w:lastRenderedPageBreak/>
        <w:t>A Canadian firm is hired to work on a set of agreements between two non-Canadian entities relating to a transaction in a foreign country. The agreements will be governed by the laws of that country. The Canadian firm has been chosen because the Canadian lawyer working on the agreements either has expertise in the area or in a previous transaction has impressed the client with his/her drafting or negotiating skills. There is, however, no Canadian party to the transaction and no Canadian law is involved. Counsel duly qualified to practise the laws of the foreign country would be retained by the client to advise on the specific legal requirements of the foreign jurisdiction and to give all necessary formal opinions.</w:t>
      </w:r>
    </w:p>
    <w:p w14:paraId="467D602C" w14:textId="77777777" w:rsidR="00C473BC" w:rsidRPr="002055CF" w:rsidRDefault="00C473BC" w:rsidP="00ED6851">
      <w:pPr>
        <w:pStyle w:val="DWPVL1"/>
        <w:tabs>
          <w:tab w:val="left" w:pos="480"/>
        </w:tabs>
        <w:ind w:left="480" w:hanging="480"/>
        <w:rPr>
          <w:rFonts w:ascii="Calibri Light" w:hAnsi="Calibri Light"/>
          <w:sz w:val="22"/>
          <w:szCs w:val="22"/>
        </w:rPr>
      </w:pPr>
      <w:r w:rsidRPr="002055CF">
        <w:rPr>
          <w:rFonts w:ascii="Calibri Light" w:hAnsi="Calibri Light"/>
          <w:sz w:val="22"/>
          <w:szCs w:val="22"/>
        </w:rPr>
        <w:t xml:space="preserve">A Canadian client has a transaction in a foreign jurisdiction.  Canadian </w:t>
      </w:r>
      <w:r w:rsidR="00ED6851" w:rsidRPr="002055CF">
        <w:rPr>
          <w:rFonts w:ascii="Calibri Light" w:hAnsi="Calibri Light"/>
          <w:sz w:val="22"/>
          <w:szCs w:val="22"/>
        </w:rPr>
        <w:t>lawyers, either from their firm’</w:t>
      </w:r>
      <w:r w:rsidRPr="002055CF">
        <w:rPr>
          <w:rFonts w:ascii="Calibri Light" w:hAnsi="Calibri Light"/>
          <w:sz w:val="22"/>
          <w:szCs w:val="22"/>
        </w:rPr>
        <w:t>s Canad</w:t>
      </w:r>
      <w:r w:rsidR="00ED6851" w:rsidRPr="002055CF">
        <w:rPr>
          <w:rFonts w:ascii="Calibri Light" w:hAnsi="Calibri Light"/>
          <w:sz w:val="22"/>
          <w:szCs w:val="22"/>
        </w:rPr>
        <w:t>ian office or one of their firm’</w:t>
      </w:r>
      <w:r w:rsidRPr="002055CF">
        <w:rPr>
          <w:rFonts w:ascii="Calibri Light" w:hAnsi="Calibri Light"/>
          <w:sz w:val="22"/>
          <w:szCs w:val="22"/>
        </w:rPr>
        <w:t>s foreign offices, advise the client generally with respect to the transaction and supporting agreements but a qualified lawyer in the foreign jurisdiction is also retained to advise on the specific legal requirements of the foreign jurisdiction and to give all formal necessary opinions.</w:t>
      </w:r>
    </w:p>
    <w:p w14:paraId="52DF551F" w14:textId="77777777" w:rsidR="00C473BC" w:rsidRPr="002055CF" w:rsidRDefault="00C473BC" w:rsidP="00ED6851">
      <w:pPr>
        <w:pStyle w:val="DWPVL1"/>
        <w:tabs>
          <w:tab w:val="left" w:pos="480"/>
        </w:tabs>
        <w:ind w:left="480" w:hanging="480"/>
        <w:rPr>
          <w:rFonts w:ascii="Calibri Light" w:hAnsi="Calibri Light"/>
          <w:sz w:val="22"/>
          <w:szCs w:val="22"/>
        </w:rPr>
      </w:pPr>
      <w:r w:rsidRPr="002055CF">
        <w:rPr>
          <w:rFonts w:ascii="Calibri Light" w:hAnsi="Calibri Light"/>
          <w:sz w:val="22"/>
          <w:szCs w:val="22"/>
        </w:rPr>
        <w:t>Canadian law firms participating in transactions involving agreements governed by foreign law regularly issue formal opinions that the entering into of foreign law agreements will not contravene applicable Canadian law, that any security interest granted against Canadian assets under such agreements are valid under applicable Canadian security statutes and that Canadian courts will give recognition to the foreign law and to judgments rendered by foreign courts in any proceeding brought in a Canadian court to enforce such agreements or foreign judgments.</w:t>
      </w:r>
    </w:p>
    <w:p w14:paraId="5CD157A2" w14:textId="77777777" w:rsidR="00C473BC" w:rsidRPr="002055CF" w:rsidRDefault="00C473BC" w:rsidP="00ED6851">
      <w:pPr>
        <w:pStyle w:val="DWPVL1"/>
        <w:tabs>
          <w:tab w:val="left" w:pos="480"/>
        </w:tabs>
        <w:ind w:left="480" w:hanging="480"/>
        <w:rPr>
          <w:rFonts w:ascii="Calibri Light" w:hAnsi="Calibri Light"/>
          <w:sz w:val="22"/>
          <w:szCs w:val="22"/>
        </w:rPr>
      </w:pPr>
      <w:r w:rsidRPr="002055CF">
        <w:rPr>
          <w:rFonts w:ascii="Calibri Light" w:hAnsi="Calibri Light"/>
          <w:sz w:val="22"/>
          <w:szCs w:val="22"/>
        </w:rPr>
        <w:t>In transactions involving both Canadian and foreign law e</w:t>
      </w:r>
      <w:r w:rsidR="00ED6851" w:rsidRPr="002055CF">
        <w:rPr>
          <w:rFonts w:ascii="Calibri Light" w:hAnsi="Calibri Light"/>
          <w:sz w:val="22"/>
          <w:szCs w:val="22"/>
        </w:rPr>
        <w:t>lements, the Canadian law firm “leads”</w:t>
      </w:r>
      <w:r w:rsidRPr="002055CF">
        <w:rPr>
          <w:rFonts w:ascii="Calibri Light" w:hAnsi="Calibri Light"/>
          <w:sz w:val="22"/>
          <w:szCs w:val="22"/>
        </w:rPr>
        <w:t xml:space="preserve"> the transaction.  A law firm qualified in the applicable foreign jurisdiction issues formal opinions on matters relating to the laws of such jurisdiction, which opinions are addressed, inter alia, to the Canadian law firm.  The Canadian law firm issues a formal opinion which addresses not only matters governed by Canadian law but also repeats the opinions included in the formal opinion</w:t>
      </w:r>
      <w:r w:rsidR="00ED6851" w:rsidRPr="002055CF">
        <w:rPr>
          <w:rFonts w:ascii="Calibri Light" w:hAnsi="Calibri Light"/>
          <w:sz w:val="22"/>
          <w:szCs w:val="22"/>
        </w:rPr>
        <w:t xml:space="preserve"> from foreign law firm (i.e. a “wrap”</w:t>
      </w:r>
      <w:r w:rsidRPr="002055CF">
        <w:rPr>
          <w:rFonts w:ascii="Calibri Light" w:hAnsi="Calibri Light"/>
          <w:sz w:val="22"/>
          <w:szCs w:val="22"/>
        </w:rPr>
        <w:t xml:space="preserve"> opinion).  Insofar as t</w:t>
      </w:r>
      <w:r w:rsidR="00ED6851" w:rsidRPr="002055CF">
        <w:rPr>
          <w:rFonts w:ascii="Calibri Light" w:hAnsi="Calibri Light"/>
          <w:sz w:val="22"/>
          <w:szCs w:val="22"/>
        </w:rPr>
        <w:t>he “wrap opinion”</w:t>
      </w:r>
      <w:r w:rsidRPr="002055CF">
        <w:rPr>
          <w:rFonts w:ascii="Calibri Light" w:hAnsi="Calibri Light"/>
          <w:sz w:val="22"/>
          <w:szCs w:val="22"/>
        </w:rPr>
        <w:t xml:space="preserve"> opines on matters of foreign law, it is relying solely upon the opinion of the foreign law firm.</w:t>
      </w:r>
    </w:p>
    <w:sectPr w:rsidR="00C473BC" w:rsidRPr="002055CF" w:rsidSect="00277DB9">
      <w:headerReference w:type="default" r:id="rId8"/>
      <w:footerReference w:type="default" r:id="rId9"/>
      <w:headerReference w:type="first" r:id="rId10"/>
      <w:footerReference w:type="first" r:id="rId11"/>
      <w:pgSz w:w="12240" w:h="15840" w:code="1"/>
      <w:pgMar w:top="1440" w:right="1440" w:bottom="1440" w:left="1440" w:header="720" w:footer="537" w:gutter="0"/>
      <w:pgNumType w:start="1"/>
      <w:cols w:space="720"/>
      <w:noEndnote/>
      <w:titlePg/>
      <w:docGrid w:linePitch="326"/>
    </w:sectPr>
  </w:body>
</w:document>
</file>

<file path=word/customizations.xml><?xml version="1.0" encoding="utf-8"?>
<wne:tcg xmlns:r="http://schemas.openxmlformats.org/officeDocument/2006/relationships" xmlns:wne="http://schemas.microsoft.com/office/word/2006/wordml">
  <wne:keymaps>
    <wne:keymap wne:kcmPrimary="0431" wne:kcmSecondary="0047">
      <wne:acd wne:acdName="acd0"/>
    </wne:keymap>
    <wne:keymap wne:kcmPrimary="0432" wne:kcmSecondary="0047">
      <wne:acd wne:acdName="acd1"/>
    </wne:keymap>
    <wne:keymap wne:kcmPrimary="0433" wne:kcmSecondary="0047">
      <wne:acd wne:acdName="acd2"/>
    </wne:keymap>
    <wne:keymap wne:kcmPrimary="0434" wne:kcmSecondary="0047">
      <wne:acd wne:acdName="acd3"/>
    </wne:keymap>
    <wne:keymap wne:kcmPrimary="0435" wne:kcmSecondary="0047">
      <wne:acd wne:acdName="acd4"/>
    </wne:keymap>
    <wne:keymap wne:kcmPrimary="0436" wne:kcmSecondary="0047">
      <wne:acd wne:acdName="acd5"/>
    </wne:keymap>
    <wne:keymap wne:kcmPrimary="0437" wne:kcmSecondary="0047">
      <wne:acd wne:acdName="acd6"/>
    </wne:keymap>
    <wne:keymap wne:kcmPrimary="0438" wne:kcmSecondary="0047">
      <wne:acd wne:acdName="acd7"/>
    </wne:keymap>
    <wne:keymap wne:kcmPrimary="0439" wne:kcmSecondary="0047">
      <wne:acd wne:acdName="acd8"/>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BEAFcAUABWACAATAAxACwARwAxAA==" wne:acdName="acd0" wne:fciIndexBasedOn="0065"/>
    <wne:acd wne:argValue="AgBEAFcAUABWACAATAAyACwARwAyAA==" wne:acdName="acd1" wne:fciIndexBasedOn="0065"/>
    <wne:acd wne:argValue="AgBEAFcAUABWACAATAAzACwARwAzAA==" wne:acdName="acd2" wne:fciIndexBasedOn="0065"/>
    <wne:acd wne:argValue="AgBEAFcAUABWACAATAA0ACwARwA0AA==" wne:acdName="acd3" wne:fciIndexBasedOn="0065"/>
    <wne:acd wne:argValue="AgBEAFcAUABWACAATAA1ACwARwA1AA==" wne:acdName="acd4" wne:fciIndexBasedOn="0065"/>
    <wne:acd wne:argValue="AgBEAFcAUABWACAATAA2ACwARwA2AA==" wne:acdName="acd5" wne:fciIndexBasedOn="0065"/>
    <wne:acd wne:argValue="AgBEAFcAUABWACAATAA3ACwARwA3AA==" wne:acdName="acd6" wne:fciIndexBasedOn="0065"/>
    <wne:acd wne:argValue="AgBEAFcAUABWACAATAA4ACwARwA4AA==" wne:acdName="acd7" wne:fciIndexBasedOn="0065"/>
    <wne:acd wne:argValue="AgBEAFcAUABWACAATAA5ACwARwA5AA=="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B3B955" w14:textId="77777777" w:rsidR="00BE53FB" w:rsidRDefault="00BE53FB">
      <w:r>
        <w:separator/>
      </w:r>
    </w:p>
  </w:endnote>
  <w:endnote w:type="continuationSeparator" w:id="0">
    <w:p w14:paraId="44D6B59F" w14:textId="77777777" w:rsidR="00BE53FB" w:rsidRDefault="00BE53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315899" w14:textId="3EBC2319" w:rsidR="00277DB9" w:rsidRPr="00277DB9" w:rsidRDefault="00277DB9">
    <w:pPr>
      <w:pStyle w:val="Footer"/>
      <w:rPr>
        <w:rFonts w:ascii="Century Gothic" w:hAnsi="Century Gothic"/>
        <w:sz w:val="18"/>
        <w:szCs w:val="18"/>
      </w:rPr>
    </w:pPr>
    <w:r>
      <w:tab/>
    </w:r>
    <w:r w:rsidRPr="00277DB9">
      <w:rPr>
        <w:rFonts w:ascii="Century Gothic" w:hAnsi="Century Gothic"/>
        <w:sz w:val="18"/>
        <w:szCs w:val="18"/>
      </w:rPr>
      <w:t xml:space="preserve">Page </w:t>
    </w:r>
    <w:r w:rsidRPr="00277DB9">
      <w:rPr>
        <w:rFonts w:ascii="Century Gothic" w:hAnsi="Century Gothic"/>
        <w:sz w:val="18"/>
        <w:szCs w:val="18"/>
      </w:rPr>
      <w:fldChar w:fldCharType="begin"/>
    </w:r>
    <w:r w:rsidRPr="00277DB9">
      <w:rPr>
        <w:rFonts w:ascii="Century Gothic" w:hAnsi="Century Gothic"/>
        <w:sz w:val="18"/>
        <w:szCs w:val="18"/>
      </w:rPr>
      <w:instrText xml:space="preserve"> PAGE   \* MERGEFORMAT </w:instrText>
    </w:r>
    <w:r w:rsidRPr="00277DB9">
      <w:rPr>
        <w:rFonts w:ascii="Century Gothic" w:hAnsi="Century Gothic"/>
        <w:sz w:val="18"/>
        <w:szCs w:val="18"/>
      </w:rPr>
      <w:fldChar w:fldCharType="separate"/>
    </w:r>
    <w:r w:rsidRPr="00277DB9">
      <w:rPr>
        <w:rFonts w:ascii="Century Gothic" w:hAnsi="Century Gothic"/>
        <w:noProof/>
        <w:sz w:val="18"/>
        <w:szCs w:val="18"/>
      </w:rPr>
      <w:t>1</w:t>
    </w:r>
    <w:r w:rsidRPr="00277DB9">
      <w:rPr>
        <w:rFonts w:ascii="Century Gothic" w:hAnsi="Century Gothic"/>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191A44" w14:textId="7A1D39C9" w:rsidR="00ED6851" w:rsidRPr="00277DB9" w:rsidRDefault="00ED6851" w:rsidP="00ED6851">
    <w:pPr>
      <w:pStyle w:val="Footer"/>
      <w:jc w:val="center"/>
      <w:rPr>
        <w:rFonts w:ascii="Century Gothic" w:hAnsi="Century Gothic"/>
        <w:sz w:val="18"/>
        <w:szCs w:val="18"/>
      </w:rPr>
    </w:pPr>
    <w:r w:rsidRPr="00277DB9">
      <w:rPr>
        <w:rFonts w:ascii="Century Gothic" w:hAnsi="Century Gothic"/>
        <w:sz w:val="18"/>
        <w:szCs w:val="18"/>
      </w:rPr>
      <w:t xml:space="preserve">Office </w:t>
    </w:r>
    <w:r w:rsidRPr="00277DB9">
      <w:rPr>
        <w:rFonts w:ascii="Century Gothic" w:hAnsi="Century Gothic"/>
        <w:spacing w:val="6"/>
        <w:sz w:val="18"/>
        <w:szCs w:val="18"/>
      </w:rPr>
      <w:t xml:space="preserve">of the </w:t>
    </w:r>
    <w:r w:rsidR="00231877" w:rsidRPr="00277DB9">
      <w:rPr>
        <w:rFonts w:ascii="Century Gothic" w:hAnsi="Century Gothic"/>
        <w:spacing w:val="-6"/>
        <w:sz w:val="18"/>
        <w:szCs w:val="18"/>
      </w:rPr>
      <w:t xml:space="preserve">General Manager, Suite </w:t>
    </w:r>
    <w:r w:rsidR="00277DB9">
      <w:rPr>
        <w:rFonts w:ascii="Century Gothic" w:hAnsi="Century Gothic"/>
        <w:spacing w:val="-6"/>
        <w:sz w:val="18"/>
        <w:szCs w:val="18"/>
      </w:rPr>
      <w:t>510</w:t>
    </w:r>
    <w:r w:rsidR="00231877" w:rsidRPr="00277DB9">
      <w:rPr>
        <w:rFonts w:ascii="Century Gothic" w:hAnsi="Century Gothic"/>
        <w:spacing w:val="-6"/>
        <w:sz w:val="18"/>
        <w:szCs w:val="18"/>
      </w:rPr>
      <w:t xml:space="preserve">, </w:t>
    </w:r>
    <w:r w:rsidR="00277DB9">
      <w:rPr>
        <w:rFonts w:ascii="Century Gothic" w:hAnsi="Century Gothic"/>
        <w:spacing w:val="-6"/>
        <w:sz w:val="18"/>
        <w:szCs w:val="18"/>
      </w:rPr>
      <w:t>36 Toronto</w:t>
    </w:r>
    <w:r w:rsidR="00231877" w:rsidRPr="00277DB9">
      <w:rPr>
        <w:rFonts w:ascii="Century Gothic" w:hAnsi="Century Gothic"/>
        <w:spacing w:val="-6"/>
        <w:sz w:val="18"/>
        <w:szCs w:val="18"/>
      </w:rPr>
      <w:t xml:space="preserve"> Street, Toronto, Ontario  M</w:t>
    </w:r>
    <w:r w:rsidR="00277DB9">
      <w:rPr>
        <w:rFonts w:ascii="Century Gothic" w:hAnsi="Century Gothic"/>
        <w:spacing w:val="-6"/>
        <w:sz w:val="18"/>
        <w:szCs w:val="18"/>
      </w:rPr>
      <w:t>5C 2C5</w:t>
    </w:r>
    <w:r w:rsidRPr="00277DB9">
      <w:rPr>
        <w:rFonts w:ascii="Century Gothic" w:hAnsi="Century Gothic"/>
        <w:spacing w:val="-6"/>
        <w:sz w:val="18"/>
        <w:szCs w:val="18"/>
      </w:rPr>
      <w:br/>
      <w:t xml:space="preserve">Tel.: </w:t>
    </w:r>
    <w:r w:rsidR="00277DB9">
      <w:rPr>
        <w:rFonts w:ascii="Century Gothic" w:hAnsi="Century Gothic"/>
        <w:spacing w:val="-6"/>
        <w:sz w:val="18"/>
        <w:szCs w:val="18"/>
      </w:rPr>
      <w:t>1-855-729-9462</w:t>
    </w:r>
    <w:r w:rsidRPr="00277DB9">
      <w:rPr>
        <w:rFonts w:ascii="Century Gothic" w:hAnsi="Century Gothic"/>
        <w:spacing w:val="-6"/>
        <w:sz w:val="18"/>
        <w:szCs w:val="18"/>
      </w:rPr>
      <w:t xml:space="preserve">  Fax: </w:t>
    </w:r>
    <w:r w:rsidR="00277DB9">
      <w:rPr>
        <w:rFonts w:ascii="Century Gothic" w:hAnsi="Century Gothic"/>
        <w:spacing w:val="-6"/>
        <w:sz w:val="18"/>
        <w:szCs w:val="18"/>
      </w:rPr>
      <w:t>1-855-529-9462</w:t>
    </w:r>
  </w:p>
  <w:p w14:paraId="2B117773" w14:textId="77777777" w:rsidR="00C473BC" w:rsidRPr="002055CF" w:rsidRDefault="00C473BC">
    <w:pPr>
      <w:pStyle w:val="Footer"/>
      <w:rPr>
        <w:rFonts w:ascii="Calibri Light" w:hAnsi="Calibri Ligh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7D75A4" w14:textId="77777777" w:rsidR="00BE53FB" w:rsidRDefault="00BE53FB">
      <w:r>
        <w:separator/>
      </w:r>
    </w:p>
  </w:footnote>
  <w:footnote w:type="continuationSeparator" w:id="0">
    <w:p w14:paraId="382F293B" w14:textId="77777777" w:rsidR="00BE53FB" w:rsidRDefault="00BE53FB">
      <w:r>
        <w:continuationSeparator/>
      </w:r>
    </w:p>
  </w:footnote>
  <w:footnote w:id="1">
    <w:p w14:paraId="211CF487" w14:textId="77777777" w:rsidR="00C473BC" w:rsidRPr="002055CF" w:rsidRDefault="00C473BC" w:rsidP="009A0C9E">
      <w:pPr>
        <w:pStyle w:val="DWPVHanging"/>
        <w:ind w:left="240" w:hanging="240"/>
        <w:rPr>
          <w:rFonts w:ascii="Calibri Light" w:hAnsi="Calibri Light"/>
          <w:sz w:val="18"/>
          <w:szCs w:val="18"/>
        </w:rPr>
      </w:pPr>
      <w:r w:rsidRPr="002055CF">
        <w:rPr>
          <w:rStyle w:val="FootnoteReference"/>
          <w:rFonts w:ascii="Calibri Light" w:hAnsi="Calibri Light"/>
          <w:sz w:val="18"/>
          <w:szCs w:val="18"/>
        </w:rPr>
        <w:footnoteRef/>
      </w:r>
      <w:r w:rsidR="00ED6851" w:rsidRPr="002055CF">
        <w:rPr>
          <w:rFonts w:ascii="Calibri Light" w:hAnsi="Calibri Light"/>
          <w:sz w:val="18"/>
          <w:szCs w:val="18"/>
        </w:rPr>
        <w:t xml:space="preserve"> </w:t>
      </w:r>
      <w:r w:rsidR="00ED6851" w:rsidRPr="002055CF">
        <w:rPr>
          <w:rFonts w:ascii="Calibri Light" w:hAnsi="Calibri Light"/>
          <w:sz w:val="18"/>
          <w:szCs w:val="18"/>
        </w:rPr>
        <w:tab/>
        <w:t>The term “Canadian lawyer”</w:t>
      </w:r>
      <w:r w:rsidRPr="002055CF">
        <w:rPr>
          <w:rFonts w:ascii="Calibri Light" w:hAnsi="Calibri Light"/>
          <w:sz w:val="18"/>
          <w:szCs w:val="18"/>
        </w:rPr>
        <w:t xml:space="preserve"> as used in this memo mea</w:t>
      </w:r>
      <w:r w:rsidR="000C0846" w:rsidRPr="002055CF">
        <w:rPr>
          <w:rFonts w:ascii="Calibri Light" w:hAnsi="Calibri Light"/>
          <w:sz w:val="18"/>
          <w:szCs w:val="18"/>
        </w:rPr>
        <w:t>ns a person qualified to practis</w:t>
      </w:r>
      <w:r w:rsidRPr="002055CF">
        <w:rPr>
          <w:rFonts w:ascii="Calibri Light" w:hAnsi="Calibri Light"/>
          <w:sz w:val="18"/>
          <w:szCs w:val="18"/>
        </w:rPr>
        <w:t>e law under the laws of one or more of the provinces or territories of Canada.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6517DA" w14:textId="34D1A965" w:rsidR="00277DB9" w:rsidRDefault="00277DB9">
    <w:pPr>
      <w:pStyle w:val="Header"/>
      <w:rPr>
        <w:noProof/>
        <w:lang w:eastAsia="en-CA"/>
      </w:rPr>
    </w:pPr>
    <w:r w:rsidRPr="00AE1AE3">
      <w:rPr>
        <w:noProof/>
        <w:lang w:eastAsia="en-CA"/>
      </w:rPr>
      <w:pict w14:anchorId="061921D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1" type="#_x0000_t75" style="width:129.75pt;height:86.95pt;visibility:visible;mso-wrap-style:square">
          <v:imagedata r:id="rId1" o:title=""/>
        </v:shape>
      </w:pict>
    </w:r>
  </w:p>
  <w:p w14:paraId="6A5C65A6" w14:textId="77777777" w:rsidR="00277DB9" w:rsidRDefault="00277D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BC1773" w14:textId="3A4BEA80" w:rsidR="00C473BC" w:rsidRDefault="00C473BC" w:rsidP="00277DB9">
    <w:pPr>
      <w:pStyle w:val="Header"/>
      <w:jc w:val="both"/>
      <w:rPr>
        <w:b/>
        <w:u w:val="single"/>
      </w:rPr>
    </w:pPr>
    <w:r>
      <w:tab/>
    </w:r>
    <w:r w:rsidR="00277DB9" w:rsidRPr="00AE1AE3">
      <w:rPr>
        <w:noProof/>
        <w:lang w:eastAsia="en-CA"/>
      </w:rPr>
      <w:pict w14:anchorId="1CCB320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0" type="#_x0000_t75" style="width:129.75pt;height:86.95pt;visibility:visible;mso-wrap-style:square">
          <v:imagedata r:id="rId1" o:title=""/>
        </v:shape>
      </w:pic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030CF3"/>
    <w:multiLevelType w:val="multilevel"/>
    <w:tmpl w:val="C6AA1B30"/>
    <w:lvl w:ilvl="0">
      <w:start w:val="1"/>
      <w:numFmt w:val="decimal"/>
      <w:lvlRestart w:val="0"/>
      <w:lvlText w:val="%1."/>
      <w:lvlJc w:val="left"/>
      <w:pPr>
        <w:tabs>
          <w:tab w:val="num" w:pos="1440"/>
        </w:tabs>
        <w:ind w:left="0" w:firstLine="0"/>
      </w:pPr>
    </w:lvl>
    <w:lvl w:ilvl="1">
      <w:start w:val="1"/>
      <w:numFmt w:val="lowerLetter"/>
      <w:lvlText w:val="(%2)"/>
      <w:lvlJc w:val="left"/>
      <w:pPr>
        <w:tabs>
          <w:tab w:val="num" w:pos="1440"/>
        </w:tabs>
        <w:ind w:left="1440" w:hanging="720"/>
      </w:pPr>
    </w:lvl>
    <w:lvl w:ilvl="2">
      <w:start w:val="1"/>
      <w:numFmt w:val="lowerLetter"/>
      <w:lvlText w:val="(%3)"/>
      <w:lvlJc w:val="left"/>
      <w:pPr>
        <w:tabs>
          <w:tab w:val="num" w:pos="1440"/>
        </w:tabs>
        <w:ind w:left="0" w:firstLine="720"/>
      </w:pPr>
    </w:lvl>
    <w:lvl w:ilvl="3">
      <w:start w:val="1"/>
      <w:numFmt w:val="lowerRoman"/>
      <w:lvlText w:val="(%4)"/>
      <w:lvlJc w:val="right"/>
      <w:pPr>
        <w:tabs>
          <w:tab w:val="num" w:pos="2160"/>
        </w:tabs>
        <w:ind w:left="2160" w:hanging="360"/>
      </w:pPr>
    </w:lvl>
    <w:lvl w:ilvl="4">
      <w:start w:val="1"/>
      <w:numFmt w:val="upperLetter"/>
      <w:lvlText w:val="(%5)"/>
      <w:lvlJc w:val="left"/>
      <w:pPr>
        <w:tabs>
          <w:tab w:val="num" w:pos="2880"/>
        </w:tabs>
        <w:ind w:left="2880" w:hanging="720"/>
      </w:pPr>
    </w:lvl>
    <w:lvl w:ilvl="5">
      <w:start w:val="1"/>
      <w:numFmt w:val="upperRoman"/>
      <w:lvlText w:val="(%6)"/>
      <w:lvlJc w:val="right"/>
      <w:pPr>
        <w:tabs>
          <w:tab w:val="num" w:pos="3600"/>
        </w:tabs>
        <w:ind w:left="3600" w:hanging="360"/>
      </w:pPr>
    </w:lvl>
    <w:lvl w:ilvl="6">
      <w:start w:val="1"/>
      <w:numFmt w:val="decimal"/>
      <w:lvlText w:val="%7)"/>
      <w:lvlJc w:val="left"/>
      <w:pPr>
        <w:tabs>
          <w:tab w:val="num" w:pos="4320"/>
        </w:tabs>
        <w:ind w:left="4320" w:hanging="720"/>
      </w:pPr>
    </w:lvl>
    <w:lvl w:ilvl="7">
      <w:start w:val="1"/>
      <w:numFmt w:val="lowerLetter"/>
      <w:lvlText w:val="%8)"/>
      <w:lvlJc w:val="left"/>
      <w:pPr>
        <w:tabs>
          <w:tab w:val="num" w:pos="5040"/>
        </w:tabs>
        <w:ind w:left="5040" w:hanging="720"/>
      </w:pPr>
    </w:lvl>
    <w:lvl w:ilvl="8">
      <w:start w:val="1"/>
      <w:numFmt w:val="lowerRoman"/>
      <w:lvlText w:val="%9)"/>
      <w:lvlJc w:val="right"/>
      <w:pPr>
        <w:tabs>
          <w:tab w:val="num" w:pos="5760"/>
        </w:tabs>
        <w:ind w:left="5760" w:hanging="360"/>
      </w:pPr>
    </w:lvl>
  </w:abstractNum>
  <w:abstractNum w:abstractNumId="1" w15:restartNumberingAfterBreak="0">
    <w:nsid w:val="27646E83"/>
    <w:multiLevelType w:val="hybridMultilevel"/>
    <w:tmpl w:val="4538EED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38B07E66"/>
    <w:multiLevelType w:val="multilevel"/>
    <w:tmpl w:val="F9386BBC"/>
    <w:name w:val="DWPV General"/>
    <w:lvl w:ilvl="0">
      <w:start w:val="1"/>
      <w:numFmt w:val="decimal"/>
      <w:lvlRestart w:val="0"/>
      <w:pStyle w:val="DWPVL1"/>
      <w:lvlText w:val="%1."/>
      <w:lvlJc w:val="left"/>
      <w:pPr>
        <w:tabs>
          <w:tab w:val="num" w:pos="1800"/>
        </w:tabs>
        <w:ind w:left="360" w:firstLine="0"/>
      </w:pPr>
      <w:rPr>
        <w:sz w:val="22"/>
      </w:rPr>
    </w:lvl>
    <w:lvl w:ilvl="1">
      <w:start w:val="1"/>
      <w:numFmt w:val="lowerLetter"/>
      <w:pStyle w:val="DWPVL2"/>
      <w:lvlText w:val="(%2)"/>
      <w:lvlJc w:val="left"/>
      <w:pPr>
        <w:tabs>
          <w:tab w:val="num" w:pos="1440"/>
        </w:tabs>
        <w:ind w:left="1440" w:hanging="720"/>
      </w:pPr>
    </w:lvl>
    <w:lvl w:ilvl="2">
      <w:start w:val="1"/>
      <w:numFmt w:val="lowerLetter"/>
      <w:pStyle w:val="DWPVL3"/>
      <w:lvlText w:val="(%3)"/>
      <w:lvlJc w:val="left"/>
      <w:pPr>
        <w:tabs>
          <w:tab w:val="num" w:pos="1440"/>
        </w:tabs>
        <w:ind w:left="0" w:firstLine="720"/>
      </w:pPr>
    </w:lvl>
    <w:lvl w:ilvl="3">
      <w:start w:val="1"/>
      <w:numFmt w:val="lowerRoman"/>
      <w:pStyle w:val="DWPVL4"/>
      <w:lvlText w:val="(%4)"/>
      <w:lvlJc w:val="right"/>
      <w:pPr>
        <w:tabs>
          <w:tab w:val="num" w:pos="2160"/>
        </w:tabs>
        <w:ind w:left="2160" w:hanging="360"/>
      </w:pPr>
    </w:lvl>
    <w:lvl w:ilvl="4">
      <w:start w:val="1"/>
      <w:numFmt w:val="upperLetter"/>
      <w:pStyle w:val="DWPVL5"/>
      <w:lvlText w:val="(%5)"/>
      <w:lvlJc w:val="left"/>
      <w:pPr>
        <w:tabs>
          <w:tab w:val="num" w:pos="2880"/>
        </w:tabs>
        <w:ind w:left="2880" w:hanging="720"/>
      </w:pPr>
    </w:lvl>
    <w:lvl w:ilvl="5">
      <w:start w:val="1"/>
      <w:numFmt w:val="upperRoman"/>
      <w:pStyle w:val="DWPVL6"/>
      <w:lvlText w:val="(%6)"/>
      <w:lvlJc w:val="right"/>
      <w:pPr>
        <w:tabs>
          <w:tab w:val="num" w:pos="3600"/>
        </w:tabs>
        <w:ind w:left="3600" w:hanging="360"/>
      </w:pPr>
    </w:lvl>
    <w:lvl w:ilvl="6">
      <w:start w:val="1"/>
      <w:numFmt w:val="decimal"/>
      <w:pStyle w:val="DWPVL7"/>
      <w:lvlText w:val="%7)"/>
      <w:lvlJc w:val="left"/>
      <w:pPr>
        <w:tabs>
          <w:tab w:val="num" w:pos="4320"/>
        </w:tabs>
        <w:ind w:left="4320" w:hanging="720"/>
      </w:pPr>
    </w:lvl>
    <w:lvl w:ilvl="7">
      <w:start w:val="1"/>
      <w:numFmt w:val="lowerLetter"/>
      <w:pStyle w:val="DWPVL8"/>
      <w:lvlText w:val="%8)"/>
      <w:lvlJc w:val="left"/>
      <w:pPr>
        <w:tabs>
          <w:tab w:val="num" w:pos="5040"/>
        </w:tabs>
        <w:ind w:left="5040" w:hanging="720"/>
      </w:pPr>
    </w:lvl>
    <w:lvl w:ilvl="8">
      <w:start w:val="1"/>
      <w:numFmt w:val="lowerRoman"/>
      <w:pStyle w:val="DWPVL9"/>
      <w:lvlText w:val="%9)"/>
      <w:lvlJc w:val="right"/>
      <w:pPr>
        <w:tabs>
          <w:tab w:val="num" w:pos="5760"/>
        </w:tabs>
        <w:ind w:left="5760" w:hanging="360"/>
      </w:pPr>
    </w:lvl>
  </w:abstractNum>
  <w:abstractNum w:abstractNumId="3" w15:restartNumberingAfterBreak="0">
    <w:nsid w:val="6A8839F2"/>
    <w:multiLevelType w:val="singleLevel"/>
    <w:tmpl w:val="B418A208"/>
    <w:name w:val="BulletB"/>
    <w:lvl w:ilvl="0">
      <w:start w:val="1"/>
      <w:numFmt w:val="bullet"/>
      <w:pStyle w:val="DWPVBulletlist2"/>
      <w:lvlText w:val=""/>
      <w:lvlJc w:val="left"/>
      <w:pPr>
        <w:tabs>
          <w:tab w:val="num" w:pos="720"/>
        </w:tabs>
        <w:ind w:left="720" w:hanging="360"/>
      </w:pPr>
      <w:rPr>
        <w:rFonts w:ascii="Wingdings" w:hAnsi="Wingdings" w:hint="default"/>
      </w:rPr>
    </w:lvl>
  </w:abstractNum>
  <w:abstractNum w:abstractNumId="4" w15:restartNumberingAfterBreak="0">
    <w:nsid w:val="74CD2789"/>
    <w:multiLevelType w:val="singleLevel"/>
    <w:tmpl w:val="F59AB00C"/>
    <w:name w:val="BulletA"/>
    <w:lvl w:ilvl="0">
      <w:start w:val="1"/>
      <w:numFmt w:val="bullet"/>
      <w:pStyle w:val="DWPVBulletlist1"/>
      <w:lvlText w:val=""/>
      <w:lvlJc w:val="left"/>
      <w:pPr>
        <w:tabs>
          <w:tab w:val="num" w:pos="360"/>
        </w:tabs>
        <w:ind w:left="360" w:hanging="360"/>
      </w:pPr>
      <w:rPr>
        <w:rFonts w:ascii="Symbol" w:hAnsi="Symbol" w:hint="default"/>
        <w:b w:val="0"/>
        <w:i w:val="0"/>
        <w:sz w:val="24"/>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rawingGridVerticalSpacing w:val="163"/>
  <w:displayHorizontalDrawingGridEvery w:val="2"/>
  <w:displayVerticalDrawingGridEvery w:val="2"/>
  <w:noPunctuationKerning/>
  <w:characterSpacingControl w:val="doNotCompress"/>
  <w:hdrShapeDefaults>
    <o:shapedefaults v:ext="edit" spidmax="3074"/>
  </w:hdrShapeDefaults>
  <w:footnotePr>
    <w:footnote w:id="-1"/>
    <w:footnote w:id="0"/>
  </w:footnotePr>
  <w:endnotePr>
    <w:endnote w:id="-1"/>
    <w:endnote w:id="0"/>
  </w:endnotePr>
  <w:compat>
    <w:doNotExpandShiftReturn/>
    <w:printColBlack/>
    <w:suppressBottomSpacing/>
    <w:suppressTopSpacing/>
    <w:suppressSpBfAfterPgBrk/>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E164D"/>
    <w:rsid w:val="000C0846"/>
    <w:rsid w:val="001B138A"/>
    <w:rsid w:val="002055CF"/>
    <w:rsid w:val="002300AB"/>
    <w:rsid w:val="00231877"/>
    <w:rsid w:val="00272961"/>
    <w:rsid w:val="00277DB9"/>
    <w:rsid w:val="0028074C"/>
    <w:rsid w:val="003079BA"/>
    <w:rsid w:val="00342D32"/>
    <w:rsid w:val="003B7442"/>
    <w:rsid w:val="004001D4"/>
    <w:rsid w:val="00441339"/>
    <w:rsid w:val="00480799"/>
    <w:rsid w:val="00496AAA"/>
    <w:rsid w:val="004A4C3C"/>
    <w:rsid w:val="004F608C"/>
    <w:rsid w:val="00540471"/>
    <w:rsid w:val="00566642"/>
    <w:rsid w:val="00610674"/>
    <w:rsid w:val="00697C98"/>
    <w:rsid w:val="00727105"/>
    <w:rsid w:val="00732785"/>
    <w:rsid w:val="00771657"/>
    <w:rsid w:val="00777F4C"/>
    <w:rsid w:val="00835939"/>
    <w:rsid w:val="00856ADD"/>
    <w:rsid w:val="0096775C"/>
    <w:rsid w:val="009A0C9E"/>
    <w:rsid w:val="009A2070"/>
    <w:rsid w:val="00A841DF"/>
    <w:rsid w:val="00AD4A47"/>
    <w:rsid w:val="00BA197A"/>
    <w:rsid w:val="00BE53FB"/>
    <w:rsid w:val="00C3390D"/>
    <w:rsid w:val="00C473BC"/>
    <w:rsid w:val="00CA5CAF"/>
    <w:rsid w:val="00CC44FC"/>
    <w:rsid w:val="00D01FB6"/>
    <w:rsid w:val="00D472EB"/>
    <w:rsid w:val="00D54376"/>
    <w:rsid w:val="00E23AA5"/>
    <w:rsid w:val="00E63C4B"/>
    <w:rsid w:val="00E75CB7"/>
    <w:rsid w:val="00ED6851"/>
    <w:rsid w:val="00F116F5"/>
    <w:rsid w:val="00F570AE"/>
    <w:rsid w:val="00FE164D"/>
    <w:rsid w:val="00FF270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oNotEmbedSmartTags/>
  <w:decimalSymbol w:val="."/>
  <w:listSeparator w:val=","/>
  <w14:docId w14:val="132D5B2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spacing w:after="240"/>
      <w:jc w:val="both"/>
    </w:pPr>
    <w:rPr>
      <w:sz w:val="24"/>
      <w:szCs w:val="24"/>
      <w:lang w:eastAsia="en-US"/>
    </w:rPr>
  </w:style>
  <w:style w:type="paragraph" w:styleId="Heading1">
    <w:name w:val="heading 1"/>
    <w:basedOn w:val="Normal"/>
    <w:next w:val="Normal"/>
    <w:qFormat/>
    <w:pPr>
      <w:keepNext/>
      <w:keepLines/>
      <w:spacing w:before="120" w:after="120"/>
      <w:jc w:val="left"/>
      <w:outlineLvl w:val="0"/>
    </w:pPr>
    <w:rPr>
      <w:rFonts w:cs="Arial"/>
      <w:b/>
      <w:bCs/>
      <w:kern w:val="28"/>
      <w:szCs w:val="32"/>
    </w:rPr>
  </w:style>
  <w:style w:type="paragraph" w:styleId="Heading2">
    <w:name w:val="heading 2"/>
    <w:basedOn w:val="Normal"/>
    <w:next w:val="Normal"/>
    <w:qFormat/>
    <w:pPr>
      <w:keepNext/>
      <w:keepLines/>
      <w:spacing w:before="120" w:after="120"/>
      <w:jc w:val="left"/>
      <w:outlineLvl w:val="1"/>
    </w:pPr>
    <w:rPr>
      <w:rFonts w:cs="Arial"/>
      <w:b/>
      <w:bCs/>
      <w:i/>
      <w:iCs/>
      <w:szCs w:val="28"/>
    </w:rPr>
  </w:style>
  <w:style w:type="paragraph" w:styleId="Heading3">
    <w:name w:val="heading 3"/>
    <w:basedOn w:val="Normal"/>
    <w:next w:val="Normal"/>
    <w:qFormat/>
    <w:pPr>
      <w:keepNext/>
      <w:spacing w:before="120" w:after="120"/>
      <w:jc w:val="left"/>
      <w:outlineLvl w:val="2"/>
    </w:pPr>
    <w:rPr>
      <w:rFonts w:cs="Arial"/>
      <w:b/>
      <w:bCs/>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680"/>
        <w:tab w:val="right" w:pos="9360"/>
      </w:tabs>
      <w:jc w:val="center"/>
    </w:pPr>
  </w:style>
  <w:style w:type="paragraph" w:styleId="Footer">
    <w:name w:val="footer"/>
    <w:basedOn w:val="Normal"/>
    <w:pPr>
      <w:tabs>
        <w:tab w:val="center" w:pos="4680"/>
        <w:tab w:val="right" w:pos="9360"/>
      </w:tabs>
      <w:spacing w:after="0"/>
      <w:jc w:val="left"/>
    </w:pPr>
  </w:style>
  <w:style w:type="character" w:styleId="PageNumber">
    <w:name w:val="page number"/>
    <w:basedOn w:val="DefaultParagraphFont"/>
  </w:style>
  <w:style w:type="paragraph" w:customStyle="1" w:styleId="DWPVBulletlist1">
    <w:name w:val="DWPVBullet list1"/>
    <w:aliases w:val="BL1"/>
    <w:basedOn w:val="Normal"/>
    <w:pPr>
      <w:numPr>
        <w:numId w:val="1"/>
      </w:numPr>
      <w:spacing w:after="120"/>
    </w:pPr>
    <w:rPr>
      <w:szCs w:val="20"/>
    </w:rPr>
  </w:style>
  <w:style w:type="paragraph" w:customStyle="1" w:styleId="Plain">
    <w:name w:val="Plain"/>
    <w:basedOn w:val="Normal"/>
    <w:pPr>
      <w:spacing w:after="0"/>
      <w:jc w:val="left"/>
    </w:pPr>
  </w:style>
  <w:style w:type="character" w:customStyle="1" w:styleId="Prompt">
    <w:name w:val="Prompt"/>
    <w:rPr>
      <w:color w:val="0000FF"/>
    </w:rPr>
  </w:style>
  <w:style w:type="paragraph" w:customStyle="1" w:styleId="DWPVBlock">
    <w:name w:val="DWPVBlock"/>
    <w:aliases w:val="B"/>
    <w:basedOn w:val="Normal"/>
    <w:pPr>
      <w:ind w:left="720" w:right="720"/>
    </w:pPr>
    <w:rPr>
      <w:szCs w:val="20"/>
    </w:rPr>
  </w:style>
  <w:style w:type="paragraph" w:customStyle="1" w:styleId="DWPVBlock1">
    <w:name w:val="DWPVBlock1"/>
    <w:aliases w:val="B1"/>
    <w:basedOn w:val="Normal"/>
    <w:pPr>
      <w:ind w:left="1440" w:right="1440"/>
    </w:pPr>
    <w:rPr>
      <w:szCs w:val="20"/>
    </w:rPr>
  </w:style>
  <w:style w:type="paragraph" w:styleId="TOC1">
    <w:name w:val="toc 1"/>
    <w:basedOn w:val="Normal"/>
    <w:next w:val="Normal"/>
    <w:semiHidden/>
    <w:pPr>
      <w:keepNext/>
      <w:spacing w:before="240" w:after="160"/>
      <w:jc w:val="center"/>
    </w:pPr>
    <w:rPr>
      <w:b/>
      <w:caps/>
      <w:u w:val="single"/>
    </w:rPr>
  </w:style>
  <w:style w:type="paragraph" w:styleId="TOC2">
    <w:name w:val="toc 2"/>
    <w:basedOn w:val="Normal"/>
    <w:next w:val="Normal"/>
    <w:autoRedefine/>
    <w:semiHidden/>
    <w:pPr>
      <w:tabs>
        <w:tab w:val="left" w:pos="1440"/>
        <w:tab w:val="right" w:leader="dot" w:pos="9360"/>
      </w:tabs>
      <w:ind w:left="720"/>
      <w:jc w:val="left"/>
    </w:pPr>
  </w:style>
  <w:style w:type="paragraph" w:customStyle="1" w:styleId="DWPVHanging">
    <w:name w:val="DWPVHanging"/>
    <w:aliases w:val="H"/>
    <w:basedOn w:val="Normal"/>
    <w:pPr>
      <w:ind w:left="720" w:hanging="720"/>
    </w:pPr>
    <w:rPr>
      <w:szCs w:val="20"/>
    </w:rPr>
  </w:style>
  <w:style w:type="paragraph" w:customStyle="1" w:styleId="DWPVIndent1">
    <w:name w:val="DWPVIndent1"/>
    <w:aliases w:val="I1"/>
    <w:basedOn w:val="Normal"/>
    <w:pPr>
      <w:ind w:left="720"/>
    </w:pPr>
    <w:rPr>
      <w:szCs w:val="20"/>
    </w:rPr>
  </w:style>
  <w:style w:type="paragraph" w:customStyle="1" w:styleId="DWPVIndent2">
    <w:name w:val="DWPVIndent2"/>
    <w:aliases w:val="I2"/>
    <w:basedOn w:val="Normal"/>
    <w:pPr>
      <w:ind w:left="1440"/>
    </w:pPr>
    <w:rPr>
      <w:szCs w:val="20"/>
    </w:rPr>
  </w:style>
  <w:style w:type="paragraph" w:customStyle="1" w:styleId="DWPVIndent3">
    <w:name w:val="DWPVIndent3"/>
    <w:aliases w:val="I3"/>
    <w:basedOn w:val="Normal"/>
    <w:pPr>
      <w:ind w:left="2160"/>
    </w:pPr>
    <w:rPr>
      <w:szCs w:val="20"/>
    </w:rPr>
  </w:style>
  <w:style w:type="paragraph" w:customStyle="1" w:styleId="DWPVIndent4">
    <w:name w:val="DWPVIndent4"/>
    <w:aliases w:val="I4"/>
    <w:basedOn w:val="Normal"/>
    <w:pPr>
      <w:ind w:left="2880"/>
    </w:pPr>
    <w:rPr>
      <w:szCs w:val="20"/>
    </w:rPr>
  </w:style>
  <w:style w:type="paragraph" w:customStyle="1" w:styleId="DWPVIndent5">
    <w:name w:val="DWPVIndent5"/>
    <w:aliases w:val="I5"/>
    <w:basedOn w:val="Normal"/>
    <w:pPr>
      <w:ind w:left="3600"/>
    </w:pPr>
    <w:rPr>
      <w:szCs w:val="20"/>
    </w:rPr>
  </w:style>
  <w:style w:type="paragraph" w:customStyle="1" w:styleId="DWPVMainHeading">
    <w:name w:val="DWPVMainHeading"/>
    <w:aliases w:val="MH"/>
    <w:basedOn w:val="Normal"/>
    <w:next w:val="Normal"/>
    <w:pPr>
      <w:keepNext/>
      <w:keepLines/>
      <w:spacing w:before="120"/>
      <w:jc w:val="center"/>
      <w:outlineLvl w:val="0"/>
    </w:pPr>
    <w:rPr>
      <w:b/>
      <w:caps/>
      <w:szCs w:val="20"/>
      <w:u w:val="single"/>
    </w:rPr>
  </w:style>
  <w:style w:type="paragraph" w:customStyle="1" w:styleId="DWPVPlain">
    <w:name w:val="DWPVPlain"/>
    <w:aliases w:val="P"/>
    <w:basedOn w:val="Normal"/>
    <w:pPr>
      <w:spacing w:after="0"/>
    </w:pPr>
    <w:rPr>
      <w:szCs w:val="20"/>
    </w:rPr>
  </w:style>
  <w:style w:type="paragraph" w:customStyle="1" w:styleId="DWPVReference">
    <w:name w:val="DWPVReference"/>
    <w:aliases w:val="Ref"/>
    <w:basedOn w:val="Normal"/>
    <w:rPr>
      <w:b/>
    </w:rPr>
  </w:style>
  <w:style w:type="paragraph" w:customStyle="1" w:styleId="DWPVSubHeading">
    <w:name w:val="DWPVSubHeading"/>
    <w:aliases w:val="SH"/>
    <w:basedOn w:val="Normal"/>
    <w:next w:val="Normal"/>
    <w:pPr>
      <w:keepNext/>
      <w:keepLines/>
      <w:spacing w:before="120"/>
      <w:outlineLvl w:val="1"/>
    </w:pPr>
    <w:rPr>
      <w:b/>
      <w:szCs w:val="20"/>
    </w:rPr>
  </w:style>
  <w:style w:type="paragraph" w:customStyle="1" w:styleId="DWPVSubHeadingNoToc">
    <w:name w:val="DWPVSubHeadingNoToc"/>
    <w:aliases w:val="SHNT"/>
    <w:basedOn w:val="DWPVSubHeading"/>
    <w:next w:val="Normal"/>
    <w:pPr>
      <w:outlineLvl w:val="9"/>
    </w:pPr>
  </w:style>
  <w:style w:type="paragraph" w:customStyle="1" w:styleId="DWPVFirstLineIndent">
    <w:name w:val="DWPVFirstLineIndent"/>
    <w:aliases w:val="F"/>
    <w:basedOn w:val="Normal"/>
    <w:pPr>
      <w:tabs>
        <w:tab w:val="left" w:pos="1440"/>
      </w:tabs>
      <w:ind w:firstLine="1440"/>
    </w:pPr>
    <w:rPr>
      <w:szCs w:val="20"/>
    </w:rPr>
  </w:style>
  <w:style w:type="paragraph" w:customStyle="1" w:styleId="DWPVTableHeading">
    <w:name w:val="DWPVTableHeading"/>
    <w:aliases w:val="TH"/>
    <w:basedOn w:val="Normal"/>
    <w:pPr>
      <w:keepNext/>
      <w:keepLines/>
      <w:spacing w:before="120" w:after="120"/>
      <w:jc w:val="center"/>
    </w:pPr>
    <w:rPr>
      <w:b/>
    </w:rPr>
  </w:style>
  <w:style w:type="paragraph" w:customStyle="1" w:styleId="DWPVTableText">
    <w:name w:val="DWPVTableText"/>
    <w:aliases w:val="TT"/>
    <w:basedOn w:val="Normal"/>
    <w:pPr>
      <w:spacing w:before="60" w:after="60"/>
    </w:pPr>
  </w:style>
  <w:style w:type="paragraph" w:customStyle="1" w:styleId="DWPVBulletlist2">
    <w:name w:val="DWPVBullet list2"/>
    <w:aliases w:val="BL2"/>
    <w:basedOn w:val="Normal"/>
    <w:pPr>
      <w:numPr>
        <w:numId w:val="2"/>
      </w:numPr>
      <w:spacing w:after="120"/>
    </w:pPr>
  </w:style>
  <w:style w:type="paragraph" w:customStyle="1" w:styleId="Addenda">
    <w:name w:val="Addenda"/>
    <w:basedOn w:val="Normal"/>
    <w:next w:val="Normal"/>
    <w:pPr>
      <w:keepNext/>
      <w:keepLines/>
      <w:tabs>
        <w:tab w:val="right" w:pos="8640"/>
      </w:tabs>
      <w:jc w:val="center"/>
      <w:outlineLvl w:val="4"/>
    </w:pPr>
    <w:rPr>
      <w:b/>
    </w:rPr>
  </w:style>
  <w:style w:type="paragraph" w:styleId="FootnoteText">
    <w:name w:val="footnote text"/>
    <w:basedOn w:val="Normal"/>
    <w:next w:val="FootnoteTextIndent"/>
    <w:semiHidden/>
    <w:pPr>
      <w:tabs>
        <w:tab w:val="left" w:pos="720"/>
      </w:tabs>
      <w:spacing w:after="120"/>
      <w:ind w:left="720" w:hanging="720"/>
    </w:pPr>
    <w:rPr>
      <w:sz w:val="20"/>
      <w:szCs w:val="20"/>
    </w:rPr>
  </w:style>
  <w:style w:type="character" w:customStyle="1" w:styleId="Comment">
    <w:name w:val="Comment"/>
    <w:aliases w:val="C"/>
    <w:rPr>
      <w:vanish/>
      <w:color w:val="FF00FF"/>
    </w:rPr>
  </w:style>
  <w:style w:type="paragraph" w:customStyle="1" w:styleId="DWPVLeft">
    <w:name w:val="DWPVLeft"/>
    <w:aliases w:val="L"/>
    <w:basedOn w:val="Normal"/>
    <w:pPr>
      <w:jc w:val="left"/>
    </w:pPr>
  </w:style>
  <w:style w:type="character" w:styleId="FootnoteReference">
    <w:name w:val="footnote reference"/>
    <w:semiHidden/>
    <w:rPr>
      <w:vertAlign w:val="superscript"/>
    </w:rPr>
  </w:style>
  <w:style w:type="paragraph" w:customStyle="1" w:styleId="DocsID">
    <w:name w:val="DocsID"/>
    <w:basedOn w:val="Normal"/>
    <w:pPr>
      <w:spacing w:after="0"/>
      <w:jc w:val="left"/>
    </w:pPr>
    <w:rPr>
      <w:sz w:val="16"/>
      <w:szCs w:val="20"/>
    </w:rPr>
  </w:style>
  <w:style w:type="paragraph" w:customStyle="1" w:styleId="FootnoteTextIndent">
    <w:name w:val="Footnote Text Indent"/>
    <w:basedOn w:val="FootnoteText"/>
    <w:pPr>
      <w:tabs>
        <w:tab w:val="clear" w:pos="720"/>
      </w:tabs>
      <w:ind w:firstLine="0"/>
    </w:pPr>
  </w:style>
  <w:style w:type="paragraph" w:customStyle="1" w:styleId="DWPVRight">
    <w:name w:val="DWPVRight"/>
    <w:aliases w:val="R"/>
    <w:basedOn w:val="Normal"/>
    <w:pPr>
      <w:jc w:val="right"/>
    </w:pPr>
  </w:style>
  <w:style w:type="paragraph" w:customStyle="1" w:styleId="DWPVCentre">
    <w:name w:val="DWPVCentre"/>
    <w:basedOn w:val="Normal"/>
    <w:pPr>
      <w:jc w:val="center"/>
    </w:pPr>
  </w:style>
  <w:style w:type="paragraph" w:customStyle="1" w:styleId="DWPV05FirstLineIndent">
    <w:name w:val="DWPV0.5FirstLineIndent"/>
    <w:basedOn w:val="Normal"/>
    <w:pPr>
      <w:ind w:firstLine="720"/>
    </w:pPr>
  </w:style>
  <w:style w:type="paragraph" w:customStyle="1" w:styleId="DWPVDoubleSpace">
    <w:name w:val="DWPVDoubleSpace"/>
    <w:aliases w:val="DS"/>
    <w:basedOn w:val="DWPVFirstLineIndent"/>
    <w:pPr>
      <w:spacing w:after="0" w:line="480" w:lineRule="auto"/>
    </w:pPr>
  </w:style>
  <w:style w:type="paragraph" w:customStyle="1" w:styleId="DWPVL1">
    <w:name w:val="DWPV L1"/>
    <w:aliases w:val="G1"/>
    <w:basedOn w:val="Normal"/>
    <w:pPr>
      <w:numPr>
        <w:numId w:val="3"/>
      </w:numPr>
      <w:outlineLvl w:val="0"/>
    </w:pPr>
  </w:style>
  <w:style w:type="paragraph" w:customStyle="1" w:styleId="DWPVL2">
    <w:name w:val="DWPV L2"/>
    <w:aliases w:val="G2"/>
    <w:basedOn w:val="Normal"/>
    <w:pPr>
      <w:numPr>
        <w:ilvl w:val="1"/>
        <w:numId w:val="3"/>
      </w:numPr>
      <w:outlineLvl w:val="1"/>
    </w:pPr>
  </w:style>
  <w:style w:type="paragraph" w:customStyle="1" w:styleId="DWPVL3">
    <w:name w:val="DWPV L3"/>
    <w:aliases w:val="G3"/>
    <w:basedOn w:val="Normal"/>
    <w:pPr>
      <w:numPr>
        <w:ilvl w:val="2"/>
        <w:numId w:val="3"/>
      </w:numPr>
      <w:outlineLvl w:val="2"/>
    </w:pPr>
  </w:style>
  <w:style w:type="paragraph" w:customStyle="1" w:styleId="DWPVL4">
    <w:name w:val="DWPV L4"/>
    <w:aliases w:val="G4"/>
    <w:basedOn w:val="Normal"/>
    <w:pPr>
      <w:numPr>
        <w:ilvl w:val="3"/>
        <w:numId w:val="3"/>
      </w:numPr>
      <w:outlineLvl w:val="3"/>
    </w:pPr>
  </w:style>
  <w:style w:type="paragraph" w:customStyle="1" w:styleId="DWPVL5">
    <w:name w:val="DWPV L5"/>
    <w:aliases w:val="G5"/>
    <w:basedOn w:val="Normal"/>
    <w:pPr>
      <w:numPr>
        <w:ilvl w:val="4"/>
        <w:numId w:val="3"/>
      </w:numPr>
    </w:pPr>
  </w:style>
  <w:style w:type="paragraph" w:customStyle="1" w:styleId="DWPVL6">
    <w:name w:val="DWPV L6"/>
    <w:aliases w:val="G6"/>
    <w:basedOn w:val="Normal"/>
    <w:pPr>
      <w:numPr>
        <w:ilvl w:val="5"/>
        <w:numId w:val="3"/>
      </w:numPr>
    </w:pPr>
  </w:style>
  <w:style w:type="paragraph" w:customStyle="1" w:styleId="DWPVL7">
    <w:name w:val="DWPV L7"/>
    <w:aliases w:val="G7"/>
    <w:basedOn w:val="Normal"/>
    <w:pPr>
      <w:numPr>
        <w:ilvl w:val="6"/>
        <w:numId w:val="3"/>
      </w:numPr>
    </w:pPr>
  </w:style>
  <w:style w:type="paragraph" w:customStyle="1" w:styleId="DWPVL8">
    <w:name w:val="DWPV L8"/>
    <w:aliases w:val="G8"/>
    <w:basedOn w:val="Normal"/>
    <w:pPr>
      <w:numPr>
        <w:ilvl w:val="7"/>
        <w:numId w:val="3"/>
      </w:numPr>
    </w:pPr>
  </w:style>
  <w:style w:type="paragraph" w:customStyle="1" w:styleId="DWPVL9">
    <w:name w:val="DWPV L9"/>
    <w:aliases w:val="G9"/>
    <w:basedOn w:val="Normal"/>
    <w:pPr>
      <w:numPr>
        <w:ilvl w:val="8"/>
        <w:numId w:val="3"/>
      </w:numPr>
    </w:pPr>
  </w:style>
  <w:style w:type="paragraph" w:styleId="BalloonText">
    <w:name w:val="Balloon Text"/>
    <w:basedOn w:val="Normal"/>
    <w:semiHidden/>
    <w:rsid w:val="00AD4A47"/>
    <w:rPr>
      <w:rFonts w:ascii="Tahoma" w:hAnsi="Tahoma" w:cs="Tahoma"/>
      <w:sz w:val="16"/>
      <w:szCs w:val="16"/>
    </w:rPr>
  </w:style>
  <w:style w:type="character" w:styleId="CommentReference">
    <w:name w:val="annotation reference"/>
    <w:rsid w:val="00D01FB6"/>
    <w:rPr>
      <w:sz w:val="16"/>
      <w:szCs w:val="16"/>
    </w:rPr>
  </w:style>
  <w:style w:type="paragraph" w:styleId="CommentText">
    <w:name w:val="annotation text"/>
    <w:basedOn w:val="Normal"/>
    <w:link w:val="CommentTextChar"/>
    <w:rsid w:val="00D01FB6"/>
    <w:rPr>
      <w:sz w:val="20"/>
      <w:szCs w:val="20"/>
    </w:rPr>
  </w:style>
  <w:style w:type="character" w:customStyle="1" w:styleId="CommentTextChar">
    <w:name w:val="Comment Text Char"/>
    <w:link w:val="CommentText"/>
    <w:rsid w:val="00D01FB6"/>
    <w:rPr>
      <w:lang w:val="en-CA"/>
    </w:rPr>
  </w:style>
  <w:style w:type="paragraph" w:styleId="CommentSubject">
    <w:name w:val="annotation subject"/>
    <w:basedOn w:val="CommentText"/>
    <w:next w:val="CommentText"/>
    <w:link w:val="CommentSubjectChar"/>
    <w:rsid w:val="00D01FB6"/>
    <w:rPr>
      <w:b/>
      <w:bCs/>
    </w:rPr>
  </w:style>
  <w:style w:type="character" w:customStyle="1" w:styleId="CommentSubjectChar">
    <w:name w:val="Comment Subject Char"/>
    <w:link w:val="CommentSubject"/>
    <w:rsid w:val="00D01FB6"/>
    <w:rPr>
      <w:b/>
      <w:bCs/>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713</Words>
  <Characters>4066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lpstr>
    </vt:vector>
  </TitlesOfParts>
  <LinksUpToDate>false</LinksUpToDate>
  <CharactersWithSpaces>4770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
  <cp:keywords/>
  <cp:lastModifiedBy/>
  <cp:revision>1</cp:revision>
  <cp:lastPrinted>2008-03-20T15:18:00Z</cp:lastPrinted>
  <dcterms:created xsi:type="dcterms:W3CDTF">2018-04-04T15:50:00Z</dcterms:created>
  <dcterms:modified xsi:type="dcterms:W3CDTF">2018-04-04T15:55:00Z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AutoUpdate">
    <vt:lpwstr>ALL</vt:lpwstr>
  </property>
  <property fmtid="{D5CDD505-2E9C-101B-9397-08002B2CF9AE}" pid="3" name="DocsID">
    <vt:lpwstr>Tor#: 1200100.4</vt:lpwstr>
  </property>
</Properties>
</file>